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220"/>
        <w:gridCol w:w="2100"/>
        <w:gridCol w:w="2475"/>
        <w:gridCol w:w="2385"/>
        <w:tblGridChange w:id="0">
          <w:tblGrid>
            <w:gridCol w:w="1800"/>
            <w:gridCol w:w="2220"/>
            <w:gridCol w:w="2100"/>
            <w:gridCol w:w="2475"/>
            <w:gridCol w:w="2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Who Said It?  (Make Sure It Is Someone Significant)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The Quote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Can be interpreted as meaning...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Possible Topics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Personal Response/Questions/Ideas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infamous writer, William Shakespeare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“We know what we are, but know not what we may be.”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have possibility beyond who we are today (beliefs, actions, success,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Status </w:t>
              <w:br w:type="textWrapping"/>
              <w:t xml:space="preserve">Change </w:t>
              <w:br w:type="textWrapping"/>
              <w:t xml:space="preserve">Possibility </w:t>
              <w:br w:type="textWrapping"/>
              <w:t xml:space="preserve">Success</w:t>
              <w:br w:type="textWrapping"/>
              <w:t xml:space="preserve">Hope </w:t>
              <w:br w:type="textWrapping"/>
              <w:t xml:space="preserve">Future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it take to unlock that possibility/potential?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